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9633F2" w:rsidRPr="000A723E" w:rsidRDefault="00D53490" w:rsidP="000A723E">
      <w:pPr>
        <w:pStyle w:val="NormalWeb"/>
        <w:spacing w:before="0" w:beforeAutospacing="0" w:after="0" w:afterAutospacing="0" w:line="480" w:lineRule="auto"/>
        <w:jc w:val="center"/>
        <w:rPr>
          <w:b/>
          <w:color w:val="000000" w:themeColor="text1"/>
        </w:rPr>
      </w:pPr>
      <w:hyperlink r:id="rId6" w:tgtFrame="_blank" w:history="1">
        <w:r w:rsidR="009633F2" w:rsidRPr="000A723E">
          <w:rPr>
            <w:rStyle w:val="Strong"/>
            <w:b w:val="0"/>
            <w:color w:val="000000" w:themeColor="text1"/>
          </w:rPr>
          <w:t>Community Strategic Plan: Part B, Strategic Plan</w:t>
        </w:r>
      </w:hyperlink>
    </w:p>
    <w:p w:rsidR="000A723E" w:rsidRPr="000A723E" w:rsidRDefault="000A723E" w:rsidP="000A723E">
      <w:pPr>
        <w:pStyle w:val="NormalWeb"/>
        <w:spacing w:before="0" w:beforeAutospacing="0" w:after="0" w:afterAutospacing="0" w:line="480" w:lineRule="auto"/>
        <w:jc w:val="center"/>
        <w:rPr>
          <w:color w:val="000000" w:themeColor="text1"/>
        </w:rPr>
      </w:pPr>
      <w:r w:rsidRPr="000A723E">
        <w:rPr>
          <w:color w:val="000000" w:themeColor="text1"/>
        </w:rPr>
        <w:t>Name</w:t>
      </w:r>
    </w:p>
    <w:p w:rsidR="000A723E" w:rsidRPr="000A723E" w:rsidRDefault="000A723E" w:rsidP="000A723E">
      <w:pPr>
        <w:pStyle w:val="NormalWeb"/>
        <w:spacing w:before="0" w:beforeAutospacing="0" w:after="0" w:afterAutospacing="0" w:line="480" w:lineRule="auto"/>
        <w:jc w:val="center"/>
        <w:rPr>
          <w:color w:val="000000" w:themeColor="text1"/>
        </w:rPr>
      </w:pPr>
      <w:r w:rsidRPr="000A723E">
        <w:rPr>
          <w:color w:val="000000" w:themeColor="text1"/>
        </w:rPr>
        <w:t xml:space="preserve">Institution </w:t>
      </w:r>
    </w:p>
    <w:p w:rsidR="000A723E" w:rsidRPr="000A723E" w:rsidRDefault="000A723E" w:rsidP="000A723E">
      <w:pPr>
        <w:pStyle w:val="NormalWeb"/>
        <w:spacing w:before="0" w:beforeAutospacing="0" w:after="0" w:afterAutospacing="0" w:line="480" w:lineRule="auto"/>
        <w:jc w:val="center"/>
        <w:rPr>
          <w:color w:val="000000" w:themeColor="text1"/>
        </w:rPr>
      </w:pPr>
      <w:r w:rsidRPr="000A723E">
        <w:rPr>
          <w:color w:val="000000" w:themeColor="text1"/>
        </w:rPr>
        <w:t>Date</w:t>
      </w: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p w:rsidR="000A723E" w:rsidRPr="000A723E" w:rsidRDefault="000A723E" w:rsidP="000A723E">
      <w:pPr>
        <w:pStyle w:val="NormalWeb"/>
        <w:spacing w:before="0" w:beforeAutospacing="0" w:after="0" w:afterAutospacing="0" w:line="480" w:lineRule="auto"/>
        <w:jc w:val="center"/>
        <w:rPr>
          <w:color w:val="000000" w:themeColor="text1"/>
        </w:rPr>
      </w:pPr>
    </w:p>
    <w:bookmarkStart w:id="0" w:name="_GoBack"/>
    <w:p w:rsidR="000A723E" w:rsidRPr="00551F2F" w:rsidRDefault="00D53490" w:rsidP="000A723E">
      <w:pPr>
        <w:pStyle w:val="NormalWeb"/>
        <w:spacing w:before="0" w:beforeAutospacing="0" w:after="0" w:afterAutospacing="0" w:line="480" w:lineRule="auto"/>
        <w:jc w:val="center"/>
        <w:rPr>
          <w:b/>
          <w:color w:val="000000" w:themeColor="text1"/>
        </w:rPr>
      </w:pPr>
      <w:r w:rsidRPr="00551F2F">
        <w:rPr>
          <w:b/>
          <w:color w:val="000000" w:themeColor="text1"/>
        </w:rPr>
        <w:lastRenderedPageBreak/>
        <w:fldChar w:fldCharType="begin"/>
      </w:r>
      <w:r w:rsidR="000A723E" w:rsidRPr="00551F2F">
        <w:rPr>
          <w:b/>
          <w:color w:val="000000" w:themeColor="text1"/>
        </w:rPr>
        <w:instrText xml:space="preserve"> HYPERLINK "https://learn.westcoastuniversity.edu/webapps/assignment/uploadAssignment?content_id=_4008352_1&amp;course_id=_47952_1&amp;group_id=&amp;mode=view" \t "_blank" </w:instrText>
      </w:r>
      <w:r w:rsidRPr="00551F2F">
        <w:rPr>
          <w:b/>
          <w:color w:val="000000" w:themeColor="text1"/>
        </w:rPr>
        <w:fldChar w:fldCharType="separate"/>
      </w:r>
      <w:r w:rsidR="000A723E" w:rsidRPr="00551F2F">
        <w:rPr>
          <w:rStyle w:val="Strong"/>
          <w:b w:val="0"/>
          <w:color w:val="000000" w:themeColor="text1"/>
        </w:rPr>
        <w:t>Community Strategic Plan: Part B, Strategic Plan</w:t>
      </w:r>
      <w:r w:rsidRPr="00551F2F">
        <w:rPr>
          <w:b/>
          <w:color w:val="000000" w:themeColor="text1"/>
        </w:rPr>
        <w:fldChar w:fldCharType="end"/>
      </w:r>
    </w:p>
    <w:bookmarkEnd w:id="0"/>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Communities are like people, they have a lot of problems, and hence analyzing these problems helps in their solutions. Concerning the previous assignment, it is evident that the selected low socio-economic community has not been stable, and therefore, a lot of attention is required to boost its operation. From analysis and the evident community health data, the low socio-economic community has been challenged by the increased prevalence</w:t>
      </w:r>
      <w:r w:rsidR="00DE7AD8">
        <w:rPr>
          <w:color w:val="000000" w:themeColor="text1"/>
        </w:rPr>
        <w:t xml:space="preserve"> regarding</w:t>
      </w:r>
      <w:r w:rsidRPr="000A723E">
        <w:rPr>
          <w:color w:val="000000" w:themeColor="text1"/>
        </w:rPr>
        <w:t xml:space="preserve"> falls of the elderly. Falls of the elderly are caused by lack of physical exercise among elders, poor health, lack of supportive community resources, and lack of knowledge on how to prevent these falls. Falls have </w:t>
      </w:r>
      <w:r w:rsidR="00DE7AD8">
        <w:rPr>
          <w:color w:val="000000" w:themeColor="text1"/>
        </w:rPr>
        <w:t>been seen as the leading cause of injuries</w:t>
      </w:r>
      <w:r w:rsidRPr="000A723E">
        <w:rPr>
          <w:color w:val="000000" w:themeColor="text1"/>
        </w:rPr>
        <w:t xml:space="preserve"> amid children</w:t>
      </w:r>
      <w:r w:rsidR="00DE7AD8">
        <w:rPr>
          <w:color w:val="000000" w:themeColor="text1"/>
        </w:rPr>
        <w:t xml:space="preserve"> and</w:t>
      </w:r>
      <w:r w:rsidRPr="000A723E">
        <w:rPr>
          <w:color w:val="000000" w:themeColor="text1"/>
        </w:rPr>
        <w:t xml:space="preserve"> older adults. Also, the fear of falling has deterred the older population from active participation in physical activities due to their health conditions. Although medications and other strategies can be put in place to address these problems, the community leaders lack interest in health promotion and that the community has a dysfunctional communication which again limits the residents to communicate their health issue</w:t>
      </w:r>
      <w:r w:rsidR="00DE7AD8">
        <w:rPr>
          <w:color w:val="000000" w:themeColor="text1"/>
        </w:rPr>
        <w:t>s</w:t>
      </w:r>
      <w:r w:rsidRPr="000A723E">
        <w:rPr>
          <w:color w:val="000000" w:themeColor="text1"/>
        </w:rPr>
        <w:t xml:space="preserve"> to the necessary authorities (Aging.Com, 2019). The purpose of this study is to provide an active community strategic plan that would help in assessing and addressing falls of the elderly in the community as a leading community health issue. </w:t>
      </w:r>
    </w:p>
    <w:p w:rsidR="009633F2" w:rsidRPr="000A723E" w:rsidRDefault="009633F2" w:rsidP="000A723E">
      <w:pPr>
        <w:pStyle w:val="NormalWeb"/>
        <w:spacing w:before="0" w:beforeAutospacing="0" w:after="0" w:afterAutospacing="0" w:line="480" w:lineRule="auto"/>
        <w:jc w:val="center"/>
        <w:rPr>
          <w:b/>
          <w:color w:val="000000" w:themeColor="text1"/>
        </w:rPr>
      </w:pPr>
      <w:r w:rsidRPr="000A723E">
        <w:rPr>
          <w:b/>
          <w:color w:val="000000" w:themeColor="text1"/>
        </w:rPr>
        <w:t xml:space="preserve">The </w:t>
      </w:r>
      <w:r w:rsidR="000A723E" w:rsidRPr="000A723E">
        <w:rPr>
          <w:b/>
          <w:color w:val="000000" w:themeColor="text1"/>
        </w:rPr>
        <w:t>Prevalence of Senior Falls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According to Aging.com, falls are the most significant cause of death and injuries in older Americans (Aging.Com, 2019). Studies have affirmed that more than 33% of the elderly fall not less than once a year. These challenging community health issues have resulted in approximately 2 million visits to the emergency rooms. Majority of the seniors in the United States have been hospitalized for falls with traumatic brain injuries, in addition to other severe injuries. Like it is the case with other nations of the</w:t>
      </w:r>
      <w:r w:rsidR="00DE7AD8">
        <w:rPr>
          <w:color w:val="000000" w:themeColor="text1"/>
        </w:rPr>
        <w:t xml:space="preserve"> world, falls of the elderly have</w:t>
      </w:r>
      <w:r w:rsidRPr="000A723E">
        <w:rPr>
          <w:color w:val="000000" w:themeColor="text1"/>
        </w:rPr>
        <w:t xml:space="preserve"> also resulted </w:t>
      </w:r>
      <w:r w:rsidRPr="000A723E">
        <w:rPr>
          <w:color w:val="000000" w:themeColor="text1"/>
        </w:rPr>
        <w:lastRenderedPageBreak/>
        <w:t>to challenging fractures of the hip and hence leading to negative impacts on quality of life and the economy in general. Tracing back from 2010, the United States has had direct monetary costs for falls to the society of more than $30 billion. </w:t>
      </w:r>
    </w:p>
    <w:p w:rsidR="009633F2" w:rsidRPr="000A723E" w:rsidRDefault="009633F2" w:rsidP="000A723E">
      <w:pPr>
        <w:pStyle w:val="NormalWeb"/>
        <w:spacing w:before="0" w:beforeAutospacing="0" w:after="0" w:afterAutospacing="0" w:line="480" w:lineRule="auto"/>
        <w:jc w:val="center"/>
        <w:rPr>
          <w:b/>
          <w:color w:val="000000" w:themeColor="text1"/>
        </w:rPr>
      </w:pPr>
      <w:r w:rsidRPr="000A723E">
        <w:rPr>
          <w:b/>
          <w:color w:val="000000" w:themeColor="text1"/>
        </w:rPr>
        <w:t>Advanced Practice Roles and Management Strategies for Preventing Falls of the Elderly</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It is true that falls put the elderly at risks of serious injury. However, fall prevention with these simple fall-prevention measures would help in reducing the incidences of hospitalization as a result of falls in addition to cutting off the monetary cost associated with falls to society. Health care professionals and other involved caregivers are required to address any medical condition that weakens the elders' health by requesting them to have frequent medical checkups bearing in mind that health of the individual is an essential aspect of fall prevention (Aging.Com, 2019). Another management strategy is through modifying the environment to reduce the risk of a fall, reduce the number of hazards, and save loved ones from physical limitations. Some common modifications include putting carpet on slippery floors, widening door frames, and installing front-door showers. </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 xml:space="preserve">Another practice </w:t>
      </w:r>
      <w:r w:rsidR="00DE7AD8">
        <w:rPr>
          <w:color w:val="000000" w:themeColor="text1"/>
        </w:rPr>
        <w:t xml:space="preserve">or </w:t>
      </w:r>
      <w:r w:rsidRPr="000A723E">
        <w:rPr>
          <w:color w:val="000000" w:themeColor="text1"/>
        </w:rPr>
        <w:t xml:space="preserve">strategy is improving the older adult’s physical fitness by encouraging them to participate in a daily exercise regimen. Such a practice would benefit the elderly by giving them stronger muscles, bones, and connective tissues as well. The elderly should be educated on the need to get the right clothes and shoes. Improving the home’s lighting would reduce hazards through enhanced sight. Falls can also be prevented by incorporating appropriate assistive devices such as walkers to give the elders support (Schick et al., 2018). Installing grab bars throughout the home would also be effective. Another fall prevention strategies include getting proper nutrition which gives energy to the body’s muscle system in </w:t>
      </w:r>
      <w:r w:rsidRPr="000A723E">
        <w:rPr>
          <w:color w:val="000000" w:themeColor="text1"/>
        </w:rPr>
        <w:lastRenderedPageBreak/>
        <w:t>addition to encouraging heightened brain function (Aging.Com, 2019). Accurate fall prevention strategies would lay a firm foundation for improved community health. </w:t>
      </w:r>
    </w:p>
    <w:p w:rsidR="009633F2" w:rsidRPr="000A723E" w:rsidRDefault="009633F2" w:rsidP="000A723E">
      <w:pPr>
        <w:pStyle w:val="NormalWeb"/>
        <w:spacing w:before="0" w:beforeAutospacing="0" w:after="0" w:afterAutospacing="0" w:line="480" w:lineRule="auto"/>
        <w:jc w:val="center"/>
        <w:rPr>
          <w:b/>
          <w:color w:val="000000" w:themeColor="text1"/>
        </w:rPr>
      </w:pPr>
      <w:r w:rsidRPr="000A723E">
        <w:rPr>
          <w:b/>
          <w:color w:val="000000" w:themeColor="text1"/>
        </w:rPr>
        <w:t>Key Community and Social Resources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The key community and social resources useful for fall prevention include the fall prevention resource guide, which sheds light on the common mechanisms which should be put in place</w:t>
      </w:r>
      <w:r w:rsidR="00DE7AD8">
        <w:rPr>
          <w:color w:val="000000" w:themeColor="text1"/>
        </w:rPr>
        <w:t xml:space="preserve"> to</w:t>
      </w:r>
      <w:r w:rsidRPr="000A723E">
        <w:rPr>
          <w:color w:val="000000" w:themeColor="text1"/>
        </w:rPr>
        <w:t xml:space="preserve"> address as well as avoid the stress of falls. Another resource is the use of a home safety checklist</w:t>
      </w:r>
      <w:r w:rsidR="00DE7AD8">
        <w:rPr>
          <w:color w:val="000000" w:themeColor="text1"/>
        </w:rPr>
        <w:t xml:space="preserve">, which allows elders and their care </w:t>
      </w:r>
      <w:r w:rsidRPr="000A723E">
        <w:rPr>
          <w:color w:val="000000" w:themeColor="text1"/>
        </w:rPr>
        <w:t>givers to make sure that all the desired resources are provided for improved care. A checklist for safety published by the Centers for Disease Control and Prevention would also help by supporting fall prevention. Presence of home safety checklist for caregivers by GetOld.com should be applied to help family caregivers to oversee their loved elderlies perfectly. Effective community resources include walker ways to support the elderly. Physical exercise events for the elderly would help to strengthen their muscles (Luk, Chan, &amp; Chan, 2015). Another resource is community nurses and leaders who would suitably address the issue of falls more directly and strategically. Healthcare facilities support fall prevention by disseminating the most accurate fall, preventing education and resources amid the elderly and hence eliminating knowledge deficiency. </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However, some other community and social resources would worsen the issue of fall prevention. For instance, the presence of slippery pavements in the home increases the risk of fall. Lack of clinical skills in managing falls increases chances for falls (Luk, Chan, &amp; Chan, 2015). Poorly designed fall prevention program would lead to misleading fall prevention strategies. </w:t>
      </w:r>
    </w:p>
    <w:p w:rsidR="000A723E" w:rsidRPr="000A723E" w:rsidRDefault="000A723E" w:rsidP="000A723E">
      <w:pPr>
        <w:pStyle w:val="NormalWeb"/>
        <w:spacing w:before="0" w:beforeAutospacing="0" w:after="0" w:afterAutospacing="0" w:line="480" w:lineRule="auto"/>
        <w:jc w:val="center"/>
        <w:rPr>
          <w:b/>
          <w:color w:val="000000" w:themeColor="text1"/>
        </w:rPr>
      </w:pPr>
    </w:p>
    <w:p w:rsidR="000A723E" w:rsidRPr="000A723E" w:rsidRDefault="000A723E" w:rsidP="000A723E">
      <w:pPr>
        <w:pStyle w:val="NormalWeb"/>
        <w:spacing w:before="0" w:beforeAutospacing="0" w:after="0" w:afterAutospacing="0" w:line="480" w:lineRule="auto"/>
        <w:jc w:val="center"/>
        <w:rPr>
          <w:b/>
          <w:color w:val="000000" w:themeColor="text1"/>
        </w:rPr>
      </w:pPr>
    </w:p>
    <w:p w:rsidR="009633F2" w:rsidRPr="000A723E" w:rsidRDefault="009633F2" w:rsidP="000A723E">
      <w:pPr>
        <w:pStyle w:val="NormalWeb"/>
        <w:spacing w:before="0" w:beforeAutospacing="0" w:after="0" w:afterAutospacing="0" w:line="480" w:lineRule="auto"/>
        <w:jc w:val="center"/>
        <w:rPr>
          <w:b/>
          <w:color w:val="000000" w:themeColor="text1"/>
        </w:rPr>
      </w:pPr>
      <w:r w:rsidRPr="000A723E">
        <w:rPr>
          <w:b/>
          <w:color w:val="000000" w:themeColor="text1"/>
        </w:rPr>
        <w:lastRenderedPageBreak/>
        <w:t xml:space="preserve">Enhancements </w:t>
      </w:r>
      <w:r w:rsidR="000A723E" w:rsidRPr="000A723E">
        <w:rPr>
          <w:b/>
          <w:color w:val="000000" w:themeColor="text1"/>
        </w:rPr>
        <w:t>in Community-Related Services in Preventing Falls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The end goal for offering fall prevention services in this community strategic plan is to ensure improved health of the seniors in the low socio-economic community. As a result, community nurses are required to show improved efforts of educating the elderly and their family caregivers on how to reduce risks of falls. Community leaders should significantly advocate for community needs to the legislators and any other concerned authority to address the issue of patient falls. Every elderly individual in the community should have a safety checklist to deter falls (Luk, Chan, &amp; Chan, 2015). Community hospitals should have adequate community nursing staff who will, in turn, offer improved services for addressing severe injuries associated with falls. Moreover, legislators and other authorities should pioneer and implement walker ways for elders in the community to reduce the increased monetary cost of senior falls to society. </w:t>
      </w:r>
    </w:p>
    <w:p w:rsidR="009633F2" w:rsidRPr="000A723E" w:rsidRDefault="009633F2" w:rsidP="000A723E">
      <w:pPr>
        <w:pStyle w:val="NormalWeb"/>
        <w:spacing w:before="0" w:beforeAutospacing="0" w:after="0" w:afterAutospacing="0" w:line="480" w:lineRule="auto"/>
        <w:jc w:val="center"/>
        <w:rPr>
          <w:b/>
          <w:color w:val="000000" w:themeColor="text1"/>
        </w:rPr>
      </w:pPr>
      <w:r w:rsidRPr="000A723E">
        <w:rPr>
          <w:b/>
          <w:color w:val="000000" w:themeColor="text1"/>
        </w:rPr>
        <w:t xml:space="preserve">A </w:t>
      </w:r>
      <w:r w:rsidR="000A723E" w:rsidRPr="000A723E">
        <w:rPr>
          <w:b/>
          <w:color w:val="000000" w:themeColor="text1"/>
        </w:rPr>
        <w:t>Strategic Plan that could Decrease the Prevalence of Senior Falls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Community health improvement strategic plan stands a chance to serve as a tool for addressing fall issues affecting the seniors in the community. The designed strategic plan will fully support the efforts for preventing senior falls in society. The strategic plan offers acute consideration to health literacy, socioeconomic factors, and cultural differences, all which are necessary aspect towards senior falls prevention and management. The primary goals for this strategic plan include:</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b/>
          <w:color w:val="000000" w:themeColor="text1"/>
        </w:rPr>
        <w:t>Goal 1:</w:t>
      </w:r>
      <w:r w:rsidRPr="000A723E">
        <w:rPr>
          <w:color w:val="000000" w:themeColor="text1"/>
        </w:rPr>
        <w:t xml:space="preserve"> Improve older adults’ physical mobility to prevent</w:t>
      </w:r>
      <w:r w:rsidR="00DE7AD8">
        <w:rPr>
          <w:color w:val="000000" w:themeColor="text1"/>
        </w:rPr>
        <w:t xml:space="preserve"> injuries</w:t>
      </w:r>
      <w:r w:rsidRPr="000A723E">
        <w:rPr>
          <w:color w:val="000000" w:themeColor="text1"/>
        </w:rPr>
        <w:t xml:space="preserve"> within 12 weeks.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b/>
          <w:color w:val="000000" w:themeColor="text1"/>
        </w:rPr>
        <w:t>Goal 2:</w:t>
      </w:r>
      <w:r w:rsidRPr="000A723E">
        <w:rPr>
          <w:color w:val="000000" w:themeColor="text1"/>
        </w:rPr>
        <w:t xml:space="preserve"> Improve clinical care to older adults for fall prevention in the next six months.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b/>
          <w:color w:val="000000" w:themeColor="text1"/>
        </w:rPr>
        <w:t>Goal 3:</w:t>
      </w:r>
      <w:r w:rsidRPr="000A723E">
        <w:rPr>
          <w:color w:val="000000" w:themeColor="text1"/>
        </w:rPr>
        <w:t xml:space="preserve"> Improve home as well as environmental safety for older adults within 12 weeks.</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b/>
          <w:color w:val="000000" w:themeColor="text1"/>
        </w:rPr>
        <w:t>Goal 4:</w:t>
      </w:r>
      <w:r w:rsidRPr="000A723E">
        <w:rPr>
          <w:color w:val="000000" w:themeColor="text1"/>
        </w:rPr>
        <w:t xml:space="preserve"> Diversify education and outreach efforts statewide among older adults, their families, and organizations serving older adults within 2019 -2021 period.</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b/>
          <w:color w:val="000000" w:themeColor="text1"/>
        </w:rPr>
        <w:lastRenderedPageBreak/>
        <w:t>Goal 5:</w:t>
      </w:r>
      <w:r w:rsidRPr="000A723E">
        <w:rPr>
          <w:color w:val="000000" w:themeColor="text1"/>
        </w:rPr>
        <w:t xml:space="preserve"> Improve statewide advocacy for policies in addition to support falls prevention initiatives for improved seniors’ health within three months. </w:t>
      </w:r>
    </w:p>
    <w:p w:rsidR="009633F2" w:rsidRPr="000A723E" w:rsidRDefault="009633F2" w:rsidP="000A723E">
      <w:pPr>
        <w:pStyle w:val="NormalWeb"/>
        <w:spacing w:before="0" w:beforeAutospacing="0" w:after="0" w:afterAutospacing="0" w:line="480" w:lineRule="auto"/>
        <w:jc w:val="center"/>
        <w:rPr>
          <w:b/>
          <w:color w:val="000000" w:themeColor="text1"/>
        </w:rPr>
      </w:pPr>
      <w:r w:rsidRPr="000A723E">
        <w:rPr>
          <w:b/>
          <w:color w:val="000000" w:themeColor="text1"/>
        </w:rPr>
        <w:t>Conclusion</w:t>
      </w:r>
    </w:p>
    <w:p w:rsidR="009633F2" w:rsidRPr="000A723E" w:rsidRDefault="009633F2" w:rsidP="000A723E">
      <w:pPr>
        <w:pStyle w:val="NormalWeb"/>
        <w:spacing w:before="0" w:beforeAutospacing="0" w:after="0" w:afterAutospacing="0" w:line="480" w:lineRule="auto"/>
        <w:ind w:firstLine="720"/>
        <w:rPr>
          <w:color w:val="000000" w:themeColor="text1"/>
        </w:rPr>
      </w:pPr>
      <w:r w:rsidRPr="000A723E">
        <w:rPr>
          <w:color w:val="000000" w:themeColor="text1"/>
        </w:rPr>
        <w:t>In summation, senior fall is an ideal challenge not only to the low socioeconomic community but also to the entire United States and the world. Studies have sho</w:t>
      </w:r>
      <w:r w:rsidR="00DE7AD8">
        <w:rPr>
          <w:color w:val="000000" w:themeColor="text1"/>
        </w:rPr>
        <w:t>wn that senior falls lead to high</w:t>
      </w:r>
      <w:r w:rsidRPr="000A723E">
        <w:rPr>
          <w:color w:val="000000" w:themeColor="text1"/>
        </w:rPr>
        <w:t xml:space="preserve"> monetary cost</w:t>
      </w:r>
      <w:r w:rsidR="00DE7AD8">
        <w:rPr>
          <w:color w:val="000000" w:themeColor="text1"/>
        </w:rPr>
        <w:t xml:space="preserve"> and expenses</w:t>
      </w:r>
      <w:r w:rsidRPr="000A723E">
        <w:rPr>
          <w:color w:val="000000" w:themeColor="text1"/>
        </w:rPr>
        <w:t xml:space="preserve"> to society and the government as well. With effective measures, it is possible to prevent as well as deter senior falls by assessing the causes, effects, and hence coming up with the best control options for improved community health. This strategic plan serves as a mirror and a roadmap to the most admired community health in the coming days.</w:t>
      </w: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0A723E">
      <w:pPr>
        <w:pStyle w:val="NormalWeb"/>
        <w:spacing w:before="0" w:beforeAutospacing="0" w:after="0" w:afterAutospacing="0" w:line="480" w:lineRule="auto"/>
        <w:jc w:val="center"/>
        <w:rPr>
          <w:color w:val="000000" w:themeColor="text1"/>
        </w:rPr>
      </w:pPr>
    </w:p>
    <w:p w:rsidR="000A723E" w:rsidRDefault="000A723E" w:rsidP="00DE7AD8">
      <w:pPr>
        <w:pStyle w:val="NormalWeb"/>
        <w:spacing w:before="0" w:beforeAutospacing="0" w:after="0" w:afterAutospacing="0" w:line="480" w:lineRule="auto"/>
        <w:rPr>
          <w:color w:val="000000" w:themeColor="text1"/>
        </w:rPr>
      </w:pPr>
    </w:p>
    <w:p w:rsidR="009633F2" w:rsidRPr="000A723E" w:rsidRDefault="009633F2" w:rsidP="000A723E">
      <w:pPr>
        <w:pStyle w:val="NormalWeb"/>
        <w:spacing w:before="0" w:beforeAutospacing="0" w:after="0" w:afterAutospacing="0" w:line="480" w:lineRule="auto"/>
        <w:jc w:val="center"/>
        <w:rPr>
          <w:color w:val="000000" w:themeColor="text1"/>
        </w:rPr>
      </w:pPr>
      <w:r w:rsidRPr="000A723E">
        <w:rPr>
          <w:color w:val="000000" w:themeColor="text1"/>
        </w:rPr>
        <w:lastRenderedPageBreak/>
        <w:t>References</w:t>
      </w:r>
    </w:p>
    <w:p w:rsidR="009633F2" w:rsidRPr="000A723E" w:rsidRDefault="009633F2" w:rsidP="000A723E">
      <w:pPr>
        <w:pStyle w:val="NormalWeb"/>
        <w:spacing w:before="0" w:beforeAutospacing="0" w:after="0" w:afterAutospacing="0" w:line="480" w:lineRule="auto"/>
        <w:ind w:left="720" w:hanging="720"/>
        <w:rPr>
          <w:color w:val="000000" w:themeColor="text1"/>
        </w:rPr>
      </w:pPr>
      <w:r w:rsidRPr="000A723E">
        <w:rPr>
          <w:color w:val="000000" w:themeColor="text1"/>
        </w:rPr>
        <w:t>Aging.Com, (2019). </w:t>
      </w:r>
      <w:r w:rsidRPr="000A723E">
        <w:rPr>
          <w:i/>
          <w:color w:val="000000" w:themeColor="text1"/>
        </w:rPr>
        <w:t>Preventing fall in Older Adults</w:t>
      </w:r>
      <w:r w:rsidRPr="000A723E">
        <w:rPr>
          <w:color w:val="000000" w:themeColor="text1"/>
        </w:rPr>
        <w:t xml:space="preserve">. National Council for Aging Care. Retrieved from </w:t>
      </w:r>
      <w:hyperlink r:id="rId7" w:history="1">
        <w:r w:rsidRPr="000A723E">
          <w:rPr>
            <w:rStyle w:val="Hyperlink"/>
            <w:color w:val="000000" w:themeColor="text1"/>
          </w:rPr>
          <w:t>https://www.aging.com/preventing-falls-in-older-adults/</w:t>
        </w:r>
      </w:hyperlink>
    </w:p>
    <w:p w:rsidR="009633F2" w:rsidRPr="000A723E" w:rsidRDefault="009633F2" w:rsidP="000A723E">
      <w:pPr>
        <w:spacing w:line="480" w:lineRule="auto"/>
        <w:ind w:left="720" w:hanging="720"/>
        <w:rPr>
          <w:rFonts w:ascii="Times New Roman" w:hAnsi="Times New Roman" w:cs="Times New Roman"/>
          <w:color w:val="000000" w:themeColor="text1"/>
          <w:sz w:val="24"/>
          <w:szCs w:val="24"/>
          <w:shd w:val="clear" w:color="auto" w:fill="FFFFFF"/>
        </w:rPr>
      </w:pPr>
      <w:r w:rsidRPr="000A723E">
        <w:rPr>
          <w:rFonts w:ascii="Times New Roman" w:hAnsi="Times New Roman" w:cs="Times New Roman"/>
          <w:color w:val="000000" w:themeColor="text1"/>
          <w:sz w:val="24"/>
          <w:szCs w:val="24"/>
          <w:shd w:val="clear" w:color="auto" w:fill="FFFFFF"/>
        </w:rPr>
        <w:t>Luk, J. K., Chan, T. Y., &amp; Chan, D. K. (2015). Falls prevention in the elderly: translating evidence into practice. </w:t>
      </w:r>
      <w:r w:rsidRPr="000A723E">
        <w:rPr>
          <w:rFonts w:ascii="Times New Roman" w:hAnsi="Times New Roman" w:cs="Times New Roman"/>
          <w:i/>
          <w:iCs/>
          <w:color w:val="000000" w:themeColor="text1"/>
          <w:sz w:val="24"/>
          <w:szCs w:val="24"/>
          <w:shd w:val="clear" w:color="auto" w:fill="FFFFFF"/>
        </w:rPr>
        <w:t>Hong Kong Med J</w:t>
      </w:r>
      <w:r w:rsidRPr="000A723E">
        <w:rPr>
          <w:rFonts w:ascii="Times New Roman" w:hAnsi="Times New Roman" w:cs="Times New Roman"/>
          <w:color w:val="000000" w:themeColor="text1"/>
          <w:sz w:val="24"/>
          <w:szCs w:val="24"/>
          <w:shd w:val="clear" w:color="auto" w:fill="FFFFFF"/>
        </w:rPr>
        <w:t>, </w:t>
      </w:r>
      <w:r w:rsidRPr="000A723E">
        <w:rPr>
          <w:rFonts w:ascii="Times New Roman" w:hAnsi="Times New Roman" w:cs="Times New Roman"/>
          <w:i/>
          <w:iCs/>
          <w:color w:val="000000" w:themeColor="text1"/>
          <w:sz w:val="24"/>
          <w:szCs w:val="24"/>
          <w:shd w:val="clear" w:color="auto" w:fill="FFFFFF"/>
        </w:rPr>
        <w:t>21</w:t>
      </w:r>
      <w:r w:rsidRPr="000A723E">
        <w:rPr>
          <w:rFonts w:ascii="Times New Roman" w:hAnsi="Times New Roman" w:cs="Times New Roman"/>
          <w:color w:val="000000" w:themeColor="text1"/>
          <w:sz w:val="24"/>
          <w:szCs w:val="24"/>
          <w:shd w:val="clear" w:color="auto" w:fill="FFFFFF"/>
        </w:rPr>
        <w:t>(2), 165-71.</w:t>
      </w:r>
    </w:p>
    <w:p w:rsidR="009633F2" w:rsidRPr="000A723E" w:rsidRDefault="009633F2" w:rsidP="000A723E">
      <w:pPr>
        <w:spacing w:line="480" w:lineRule="auto"/>
        <w:ind w:left="720" w:hanging="720"/>
        <w:rPr>
          <w:rFonts w:ascii="Times New Roman" w:hAnsi="Times New Roman" w:cs="Times New Roman"/>
          <w:color w:val="000000" w:themeColor="text1"/>
          <w:sz w:val="24"/>
          <w:szCs w:val="24"/>
        </w:rPr>
      </w:pPr>
      <w:r w:rsidRPr="000A723E">
        <w:rPr>
          <w:rFonts w:ascii="Times New Roman" w:hAnsi="Times New Roman" w:cs="Times New Roman"/>
          <w:color w:val="000000" w:themeColor="text1"/>
          <w:sz w:val="24"/>
          <w:szCs w:val="24"/>
          <w:shd w:val="clear" w:color="auto" w:fill="FFFFFF"/>
        </w:rPr>
        <w:t>Schick, S., Heinrich, D., Graw, M., Aranda, R., Ferrari, U., &amp;Peldschus, S. (2018). Fatal falls in the elderly and the presence of proximal femur fractures. </w:t>
      </w:r>
      <w:r w:rsidRPr="000A723E">
        <w:rPr>
          <w:rFonts w:ascii="Times New Roman" w:hAnsi="Times New Roman" w:cs="Times New Roman"/>
          <w:i/>
          <w:iCs/>
          <w:color w:val="000000" w:themeColor="text1"/>
          <w:sz w:val="24"/>
          <w:szCs w:val="24"/>
          <w:shd w:val="clear" w:color="auto" w:fill="FFFFFF"/>
        </w:rPr>
        <w:t>International journal of legal medicine</w:t>
      </w:r>
      <w:r w:rsidRPr="000A723E">
        <w:rPr>
          <w:rFonts w:ascii="Times New Roman" w:hAnsi="Times New Roman" w:cs="Times New Roman"/>
          <w:color w:val="000000" w:themeColor="text1"/>
          <w:sz w:val="24"/>
          <w:szCs w:val="24"/>
          <w:shd w:val="clear" w:color="auto" w:fill="FFFFFF"/>
        </w:rPr>
        <w:t>, </w:t>
      </w:r>
      <w:r w:rsidRPr="000A723E">
        <w:rPr>
          <w:rFonts w:ascii="Times New Roman" w:hAnsi="Times New Roman" w:cs="Times New Roman"/>
          <w:i/>
          <w:iCs/>
          <w:color w:val="000000" w:themeColor="text1"/>
          <w:sz w:val="24"/>
          <w:szCs w:val="24"/>
          <w:shd w:val="clear" w:color="auto" w:fill="FFFFFF"/>
        </w:rPr>
        <w:t>132</w:t>
      </w:r>
      <w:r w:rsidRPr="000A723E">
        <w:rPr>
          <w:rFonts w:ascii="Times New Roman" w:hAnsi="Times New Roman" w:cs="Times New Roman"/>
          <w:color w:val="000000" w:themeColor="text1"/>
          <w:sz w:val="24"/>
          <w:szCs w:val="24"/>
          <w:shd w:val="clear" w:color="auto" w:fill="FFFFFF"/>
        </w:rPr>
        <w:t>(6), 1699-1712.</w:t>
      </w:r>
    </w:p>
    <w:p w:rsidR="00F86410" w:rsidRPr="000A723E" w:rsidRDefault="00F86410" w:rsidP="000A723E">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0A723E" w:rsidRDefault="000A723E">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551F2F" w:rsidRDefault="00551F2F">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p>
    <w:p w:rsidR="003C0AA9" w:rsidRDefault="003C0AA9" w:rsidP="003C0AA9">
      <w:pPr>
        <w:spacing w:line="480" w:lineRule="auto"/>
        <w:jc w:val="center"/>
        <w:rPr>
          <w:rFonts w:ascii="Times New Roman" w:hAnsi="Times New Roman" w:cs="Times New Roman"/>
          <w:color w:val="000000" w:themeColor="text1"/>
          <w:sz w:val="24"/>
          <w:szCs w:val="24"/>
        </w:rPr>
      </w:pPr>
    </w:p>
    <w:p w:rsidR="003C0AA9" w:rsidRPr="003C0AA9" w:rsidRDefault="003C0AA9" w:rsidP="003C0AA9">
      <w:pPr>
        <w:spacing w:line="480" w:lineRule="auto"/>
        <w:jc w:val="center"/>
        <w:rPr>
          <w:rFonts w:ascii="Times New Roman" w:hAnsi="Times New Roman" w:cs="Times New Roman"/>
          <w:b/>
          <w:color w:val="000000" w:themeColor="text1"/>
          <w:sz w:val="24"/>
          <w:szCs w:val="24"/>
        </w:rPr>
      </w:pPr>
      <w:r w:rsidRPr="003C0AA9">
        <w:rPr>
          <w:rFonts w:ascii="Times New Roman" w:hAnsi="Times New Roman" w:cs="Times New Roman"/>
          <w:b/>
          <w:color w:val="000000" w:themeColor="text1"/>
          <w:sz w:val="24"/>
          <w:szCs w:val="24"/>
        </w:rPr>
        <w:lastRenderedPageBreak/>
        <w:t>Appendix</w:t>
      </w:r>
    </w:p>
    <w:p w:rsidR="003C0AA9" w:rsidRPr="008B736F" w:rsidRDefault="003C0AA9" w:rsidP="003C0AA9">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t>Community Strategic Plan: Part A</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A community health improvement is the sole approach of restoring and reinforcing community health and well-being in a community. However, the practice needs to be complemented with a well-established framework within which the community is supposed to take as a step towards maintaining and improving health by assessing the community’s health needs and defining a strategy for actions (Pennel et al., 2016). Community assessment serves community leaders with an ideal snapshot of the community policy, systems, in addition to the current environmental</w:t>
      </w:r>
      <w:r>
        <w:rPr>
          <w:rFonts w:ascii="Times New Roman" w:eastAsia="Times New Roman" w:hAnsi="Times New Roman" w:cs="Times New Roman"/>
          <w:bCs/>
          <w:color w:val="000000" w:themeColor="text1"/>
          <w:sz w:val="24"/>
          <w:szCs w:val="24"/>
        </w:rPr>
        <w:t xml:space="preserve"> change strategies, which allow</w:t>
      </w:r>
      <w:r w:rsidRPr="008B736F">
        <w:rPr>
          <w:rFonts w:ascii="Times New Roman" w:eastAsia="Times New Roman" w:hAnsi="Times New Roman" w:cs="Times New Roman"/>
          <w:bCs/>
          <w:color w:val="000000" w:themeColor="text1"/>
          <w:sz w:val="24"/>
          <w:szCs w:val="24"/>
        </w:rPr>
        <w:t xml:space="preserve"> accurate identification of areas of improvement. The purpose of this study is to lay a foundation for community strategic plan by identifying the available community resources for community assessment, community strengths and concerns, in addition to the potential barriers for implementing community plan. </w:t>
      </w:r>
    </w:p>
    <w:p w:rsidR="003C0AA9" w:rsidRPr="008B736F" w:rsidRDefault="003C0AA9" w:rsidP="003C0AA9">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Resources for Community Assessment</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The selected community of study is a low socio-economic community which has vital signs of community needs assessments as a stepping stone for improved community health. The necessary resources for community assessment resources in this setting include healthcare facilities which stand a chance to avail essential data regarding the health status of the chosen community. Community health groups are conversant with the strength</w:t>
      </w:r>
      <w:r>
        <w:rPr>
          <w:rFonts w:ascii="Times New Roman" w:eastAsia="Times New Roman" w:hAnsi="Times New Roman" w:cs="Times New Roman"/>
          <w:bCs/>
          <w:color w:val="000000" w:themeColor="text1"/>
          <w:sz w:val="24"/>
          <w:szCs w:val="24"/>
        </w:rPr>
        <w:t>s</w:t>
      </w:r>
      <w:r w:rsidRPr="008B736F">
        <w:rPr>
          <w:rFonts w:ascii="Times New Roman" w:eastAsia="Times New Roman" w:hAnsi="Times New Roman" w:cs="Times New Roman"/>
          <w:bCs/>
          <w:color w:val="000000" w:themeColor="text1"/>
          <w:sz w:val="24"/>
          <w:szCs w:val="24"/>
        </w:rPr>
        <w:t>, weakness</w:t>
      </w:r>
      <w:r>
        <w:rPr>
          <w:rFonts w:ascii="Times New Roman" w:eastAsia="Times New Roman" w:hAnsi="Times New Roman" w:cs="Times New Roman"/>
          <w:bCs/>
          <w:color w:val="000000" w:themeColor="text1"/>
          <w:sz w:val="24"/>
          <w:szCs w:val="24"/>
        </w:rPr>
        <w:t>es</w:t>
      </w:r>
      <w:r w:rsidRPr="008B736F">
        <w:rPr>
          <w:rFonts w:ascii="Times New Roman" w:eastAsia="Times New Roman" w:hAnsi="Times New Roman" w:cs="Times New Roman"/>
          <w:bCs/>
          <w:color w:val="000000" w:themeColor="text1"/>
          <w:sz w:val="24"/>
          <w:szCs w:val="24"/>
        </w:rPr>
        <w:t>, and the evident opportunities of the community, a necessary data which would pave the way for improved community health. Cultural groups are also effective for community assessment because they pose significant influence on community health practices through beliefs and norms (Shah, 2018). Community leaders would help in commu</w:t>
      </w:r>
      <w:r>
        <w:rPr>
          <w:rFonts w:ascii="Times New Roman" w:eastAsia="Times New Roman" w:hAnsi="Times New Roman" w:cs="Times New Roman"/>
          <w:bCs/>
          <w:color w:val="000000" w:themeColor="text1"/>
          <w:sz w:val="24"/>
          <w:szCs w:val="24"/>
        </w:rPr>
        <w:t xml:space="preserve">nity assessment by sharing information </w:t>
      </w:r>
      <w:r w:rsidRPr="008B736F">
        <w:rPr>
          <w:rFonts w:ascii="Times New Roman" w:eastAsia="Times New Roman" w:hAnsi="Times New Roman" w:cs="Times New Roman"/>
          <w:bCs/>
          <w:color w:val="000000" w:themeColor="text1"/>
          <w:sz w:val="24"/>
          <w:szCs w:val="24"/>
        </w:rPr>
        <w:lastRenderedPageBreak/>
        <w:t xml:space="preserve">regarding the most promising community health practices based on experience. The community-dwelling resident would help in community assessment by airing their grievances. More importantly, community nurses would serve as significant resources by carrying out research, analyzing data, making the diagnosis, and implementing the programmed initiatives. </w:t>
      </w:r>
    </w:p>
    <w:p w:rsidR="003C0AA9" w:rsidRPr="008B736F" w:rsidRDefault="003C0AA9" w:rsidP="003C0AA9">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Strength and Concerns</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The community</w:t>
      </w:r>
      <w:r>
        <w:rPr>
          <w:rFonts w:ascii="Times New Roman" w:eastAsia="Times New Roman" w:hAnsi="Times New Roman" w:cs="Times New Roman"/>
          <w:bCs/>
          <w:color w:val="000000" w:themeColor="text1"/>
          <w:sz w:val="24"/>
          <w:szCs w:val="24"/>
        </w:rPr>
        <w:t xml:space="preserve"> of focus</w:t>
      </w:r>
      <w:r w:rsidRPr="008B736F">
        <w:rPr>
          <w:rFonts w:ascii="Times New Roman" w:eastAsia="Times New Roman" w:hAnsi="Times New Roman" w:cs="Times New Roman"/>
          <w:bCs/>
          <w:color w:val="000000" w:themeColor="text1"/>
          <w:sz w:val="24"/>
          <w:szCs w:val="24"/>
        </w:rPr>
        <w:t xml:space="preserve"> has had a good reputation in regards to community health. The community has been endowed with a proper feeding program which is highly accessible to older adults. The community has a well-established child clinic which seeks to ensure good infants health. Through the local government, the community has a well-defined family planning services which are quite accessible for all men and women (Berman, DeFlorio-Barker, &amp; Whitehead, 2019). Observably, these core strengths are responsible for the current community status, although there is an implication that the community lacks a lot to stay balanced. </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However, the community has a couple of features which confidently define poor community health. The significant concerns to the community are that it relies heavily on the non-fluoridated water system, and this increases chances for the widespread of waterborne diseases. The community has a dysfunctional communication which limits residents to air their grievances. There are dysfunctional transactions due to lack of transparency and accountability. The community leaders lack interest in health promotion. Many families are found to have inadequate kitchen and plumbing facilities. All of these factors have contributed to poor community health.</w:t>
      </w:r>
    </w:p>
    <w:p w:rsidR="003C0AA9" w:rsidRPr="008B736F" w:rsidRDefault="003C0AA9" w:rsidP="003C0AA9">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Potential Barriers to Implementing Community Plans</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lastRenderedPageBreak/>
        <w:t>Community strategic plan is subject to many obstacles which deter its implementation. In this setting, the community of study lacks adequate healthcare facilities which include hospitals and dispensaries. The community lacks adequate community nurses who would, in turn, address the challenging community health issues and eradicating knowledge deficiency amid the community members. Diversity has also been an issue of major concern which would draw back the implementation plans (Bronson et al., 2019). As such, each ethnic group is found to have a different culture which holds different values towards hygi</w:t>
      </w:r>
      <w:r>
        <w:rPr>
          <w:rFonts w:ascii="Times New Roman" w:eastAsia="Times New Roman" w:hAnsi="Times New Roman" w:cs="Times New Roman"/>
          <w:bCs/>
          <w:color w:val="000000" w:themeColor="text1"/>
          <w:sz w:val="24"/>
          <w:szCs w:val="24"/>
        </w:rPr>
        <w:t>ene. Environmental changes pose</w:t>
      </w:r>
      <w:r w:rsidRPr="008B736F">
        <w:rPr>
          <w:rFonts w:ascii="Times New Roman" w:eastAsia="Times New Roman" w:hAnsi="Times New Roman" w:cs="Times New Roman"/>
          <w:bCs/>
          <w:color w:val="000000" w:themeColor="text1"/>
          <w:sz w:val="24"/>
          <w:szCs w:val="24"/>
        </w:rPr>
        <w:t xml:space="preserve"> a significant challenge to the current community health status. More importantly, there is a persistent outbreak of contagious diseases which would call for untimely revision of implementation budget. Another significant barrier I lack a promising community health policy, and this would lead to an acute violation of the implementation plan strategies. </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To address these barriers, there is a need to offer quality based community education to enlighten people on the importance of maintaining good hygiene in all setting. Establishment of community health policies and healthcare facilities would pave the way for improved implantation of the plan. Environmental change strategies would help address environment barrier during implementation plan. There is a need to support community-based research to identify the root causes, effects, and solutions to address pandemics. Employing more nurses would provide adequate personnel for the implementation process. Finally, helping people of races to abandon their primitive culture to support quality community health</w:t>
      </w:r>
    </w:p>
    <w:p w:rsidR="003C0AA9" w:rsidRPr="008B736F" w:rsidRDefault="003C0AA9" w:rsidP="003C0AA9">
      <w:pPr>
        <w:spacing w:line="480" w:lineRule="auto"/>
        <w:jc w:val="center"/>
        <w:rPr>
          <w:rFonts w:ascii="Times New Roman" w:eastAsia="Times New Roman" w:hAnsi="Times New Roman" w:cs="Times New Roman"/>
          <w:b/>
          <w:bCs/>
          <w:color w:val="000000" w:themeColor="text1"/>
          <w:sz w:val="24"/>
          <w:szCs w:val="24"/>
        </w:rPr>
      </w:pPr>
      <w:r w:rsidRPr="008B736F">
        <w:rPr>
          <w:rFonts w:ascii="Times New Roman" w:eastAsia="Times New Roman" w:hAnsi="Times New Roman" w:cs="Times New Roman"/>
          <w:b/>
          <w:bCs/>
          <w:color w:val="000000" w:themeColor="text1"/>
          <w:sz w:val="24"/>
          <w:szCs w:val="24"/>
        </w:rPr>
        <w:t>Conclusion</w:t>
      </w:r>
    </w:p>
    <w:p w:rsidR="003C0AA9" w:rsidRPr="008B736F" w:rsidRDefault="003C0AA9" w:rsidP="003C0AA9">
      <w:pPr>
        <w:spacing w:line="480" w:lineRule="auto"/>
        <w:ind w:firstLine="720"/>
        <w:rPr>
          <w:rFonts w:ascii="Times New Roman" w:eastAsia="Times New Roman" w:hAnsi="Times New Roman" w:cs="Times New Roman"/>
          <w:bCs/>
          <w:color w:val="000000" w:themeColor="text1"/>
          <w:sz w:val="24"/>
          <w:szCs w:val="24"/>
        </w:rPr>
      </w:pPr>
      <w:r w:rsidRPr="008B736F">
        <w:rPr>
          <w:rFonts w:ascii="Times New Roman" w:eastAsia="Times New Roman" w:hAnsi="Times New Roman" w:cs="Times New Roman"/>
          <w:bCs/>
          <w:color w:val="000000" w:themeColor="text1"/>
          <w:sz w:val="24"/>
          <w:szCs w:val="24"/>
        </w:rPr>
        <w:t xml:space="preserve">In summation, an active community is made up of ethical health standards.  The low socio-economic community lacks adequate medical facilities, inadequate staffing, and lack of interest be health leaders. The community has a dysfunctional communication which limits </w:t>
      </w:r>
      <w:r w:rsidRPr="008B736F">
        <w:rPr>
          <w:rFonts w:ascii="Times New Roman" w:eastAsia="Times New Roman" w:hAnsi="Times New Roman" w:cs="Times New Roman"/>
          <w:bCs/>
          <w:color w:val="000000" w:themeColor="text1"/>
          <w:sz w:val="24"/>
          <w:szCs w:val="24"/>
        </w:rPr>
        <w:lastRenderedPageBreak/>
        <w:t>residents to air their grievances.</w:t>
      </w:r>
      <w:r>
        <w:rPr>
          <w:rFonts w:ascii="Times New Roman" w:eastAsia="Times New Roman" w:hAnsi="Times New Roman" w:cs="Times New Roman"/>
          <w:bCs/>
          <w:color w:val="000000" w:themeColor="text1"/>
          <w:sz w:val="24"/>
          <w:szCs w:val="24"/>
        </w:rPr>
        <w:t xml:space="preserve"> </w:t>
      </w:r>
      <w:r w:rsidRPr="008B736F">
        <w:rPr>
          <w:rFonts w:ascii="Times New Roman" w:eastAsia="Times New Roman" w:hAnsi="Times New Roman" w:cs="Times New Roman"/>
          <w:bCs/>
          <w:color w:val="000000" w:themeColor="text1"/>
          <w:sz w:val="24"/>
          <w:szCs w:val="24"/>
        </w:rPr>
        <w:t>The community has a dysfunctional communication which limits residents to air their grievances. There are dysfunctional transactions due to lack of transparency and accountability. The community leaders lack interest in health promotion. Many families are found to have inadequate kitchen and plumbing facilities.</w:t>
      </w: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p>
    <w:p w:rsidR="003C0AA9" w:rsidRDefault="003C0AA9" w:rsidP="003C0AA9">
      <w:pPr>
        <w:spacing w:line="480" w:lineRule="auto"/>
        <w:jc w:val="center"/>
        <w:rPr>
          <w:rFonts w:ascii="Times New Roman" w:hAnsi="Times New Roman" w:cs="Times New Roman"/>
          <w:color w:val="000000" w:themeColor="text1"/>
          <w:sz w:val="24"/>
          <w:szCs w:val="24"/>
        </w:rPr>
      </w:pPr>
    </w:p>
    <w:p w:rsidR="003C0AA9" w:rsidRDefault="003C0AA9" w:rsidP="003C0AA9">
      <w:pPr>
        <w:spacing w:line="480" w:lineRule="auto"/>
        <w:jc w:val="center"/>
        <w:rPr>
          <w:rFonts w:ascii="Times New Roman" w:hAnsi="Times New Roman" w:cs="Times New Roman"/>
          <w:color w:val="000000" w:themeColor="text1"/>
          <w:sz w:val="24"/>
          <w:szCs w:val="24"/>
        </w:rPr>
      </w:pPr>
    </w:p>
    <w:p w:rsidR="003C0AA9" w:rsidRPr="008B736F" w:rsidRDefault="003C0AA9" w:rsidP="003C0AA9">
      <w:pPr>
        <w:spacing w:line="480" w:lineRule="auto"/>
        <w:jc w:val="center"/>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rPr>
        <w:t>References</w:t>
      </w:r>
    </w:p>
    <w:p w:rsidR="003C0AA9" w:rsidRPr="008B736F" w:rsidRDefault="003C0AA9" w:rsidP="003C0AA9">
      <w:pPr>
        <w:spacing w:line="480" w:lineRule="auto"/>
        <w:ind w:left="720" w:hanging="720"/>
        <w:rPr>
          <w:rFonts w:ascii="Times New Roman" w:hAnsi="Times New Roman" w:cs="Times New Roman"/>
          <w:color w:val="000000" w:themeColor="text1"/>
          <w:sz w:val="24"/>
          <w:szCs w:val="24"/>
          <w:shd w:val="clear" w:color="auto" w:fill="FFFFFF"/>
        </w:rPr>
      </w:pPr>
      <w:r w:rsidRPr="008B736F">
        <w:rPr>
          <w:rFonts w:ascii="Times New Roman" w:hAnsi="Times New Roman" w:cs="Times New Roman"/>
          <w:color w:val="000000" w:themeColor="text1"/>
          <w:sz w:val="24"/>
          <w:szCs w:val="24"/>
          <w:shd w:val="clear" w:color="auto" w:fill="FFFFFF"/>
        </w:rPr>
        <w:t>Berman, L., DeFlorio-Barker, S., &amp; Whitehead, S. (2019). Part 2: Assessing Local Health Agency Capacity to Integrate Environmental Health and Land Reuse Work. </w:t>
      </w:r>
      <w:r w:rsidRPr="008B736F">
        <w:rPr>
          <w:rFonts w:ascii="Times New Roman" w:hAnsi="Times New Roman" w:cs="Times New Roman"/>
          <w:i/>
          <w:iCs/>
          <w:color w:val="000000" w:themeColor="text1"/>
          <w:sz w:val="24"/>
          <w:szCs w:val="24"/>
          <w:shd w:val="clear" w:color="auto" w:fill="FFFFFF"/>
        </w:rPr>
        <w:t>Journal of Environmental Health</w:t>
      </w:r>
      <w:r w:rsidRPr="008B736F">
        <w:rPr>
          <w:rFonts w:ascii="Times New Roman" w:hAnsi="Times New Roman" w:cs="Times New Roman"/>
          <w:color w:val="000000" w:themeColor="text1"/>
          <w:sz w:val="24"/>
          <w:szCs w:val="24"/>
          <w:shd w:val="clear" w:color="auto" w:fill="FFFFFF"/>
        </w:rPr>
        <w:t>, </w:t>
      </w:r>
      <w:r w:rsidRPr="008B736F">
        <w:rPr>
          <w:rFonts w:ascii="Times New Roman" w:hAnsi="Times New Roman" w:cs="Times New Roman"/>
          <w:i/>
          <w:iCs/>
          <w:color w:val="000000" w:themeColor="text1"/>
          <w:sz w:val="24"/>
          <w:szCs w:val="24"/>
          <w:shd w:val="clear" w:color="auto" w:fill="FFFFFF"/>
        </w:rPr>
        <w:t>81</w:t>
      </w:r>
      <w:r w:rsidRPr="008B736F">
        <w:rPr>
          <w:rFonts w:ascii="Times New Roman" w:hAnsi="Times New Roman" w:cs="Times New Roman"/>
          <w:color w:val="000000" w:themeColor="text1"/>
          <w:sz w:val="24"/>
          <w:szCs w:val="24"/>
          <w:shd w:val="clear" w:color="auto" w:fill="FFFFFF"/>
        </w:rPr>
        <w:t>(9).</w:t>
      </w:r>
    </w:p>
    <w:p w:rsidR="003C0AA9" w:rsidRPr="008B736F" w:rsidRDefault="003C0AA9" w:rsidP="003C0AA9">
      <w:pPr>
        <w:spacing w:line="480" w:lineRule="auto"/>
        <w:ind w:left="720" w:hanging="720"/>
        <w:rPr>
          <w:rFonts w:ascii="Times New Roman" w:hAnsi="Times New Roman" w:cs="Times New Roman"/>
          <w:color w:val="000000" w:themeColor="text1"/>
          <w:sz w:val="24"/>
          <w:szCs w:val="24"/>
        </w:rPr>
      </w:pPr>
      <w:r w:rsidRPr="008B736F">
        <w:rPr>
          <w:rFonts w:ascii="Times New Roman" w:hAnsi="Times New Roman" w:cs="Times New Roman"/>
          <w:color w:val="000000" w:themeColor="text1"/>
          <w:sz w:val="24"/>
          <w:szCs w:val="24"/>
          <w:shd w:val="clear" w:color="auto" w:fill="FFFFFF"/>
        </w:rPr>
        <w:t>Brownson, R. C., Baker, E. A., Deshpande, A. D., &amp; Gillespie, K. N. (2017). </w:t>
      </w:r>
      <w:r w:rsidRPr="008B736F">
        <w:rPr>
          <w:rFonts w:ascii="Times New Roman" w:hAnsi="Times New Roman" w:cs="Times New Roman"/>
          <w:i/>
          <w:iCs/>
          <w:color w:val="000000" w:themeColor="text1"/>
          <w:sz w:val="24"/>
          <w:szCs w:val="24"/>
          <w:shd w:val="clear" w:color="auto" w:fill="FFFFFF"/>
        </w:rPr>
        <w:t>Evidence-based public health</w:t>
      </w:r>
      <w:r w:rsidRPr="008B736F">
        <w:rPr>
          <w:rFonts w:ascii="Times New Roman" w:hAnsi="Times New Roman" w:cs="Times New Roman"/>
          <w:color w:val="000000" w:themeColor="text1"/>
          <w:sz w:val="24"/>
          <w:szCs w:val="24"/>
          <w:shd w:val="clear" w:color="auto" w:fill="FFFFFF"/>
        </w:rPr>
        <w:t>. Oxford University Press.</w:t>
      </w:r>
    </w:p>
    <w:p w:rsidR="003C0AA9" w:rsidRPr="008B736F" w:rsidRDefault="003C0AA9" w:rsidP="003C0AA9">
      <w:pPr>
        <w:spacing w:line="480" w:lineRule="auto"/>
        <w:ind w:left="720" w:hanging="720"/>
        <w:rPr>
          <w:rFonts w:ascii="Times New Roman" w:hAnsi="Times New Roman" w:cs="Times New Roman"/>
          <w:color w:val="000000" w:themeColor="text1"/>
          <w:sz w:val="24"/>
          <w:szCs w:val="24"/>
          <w:shd w:val="clear" w:color="auto" w:fill="FFFFFF"/>
        </w:rPr>
      </w:pPr>
      <w:r w:rsidRPr="008B736F">
        <w:rPr>
          <w:rFonts w:ascii="Times New Roman" w:hAnsi="Times New Roman" w:cs="Times New Roman"/>
          <w:color w:val="000000" w:themeColor="text1"/>
          <w:sz w:val="24"/>
          <w:szCs w:val="24"/>
          <w:shd w:val="clear" w:color="auto" w:fill="FFFFFF"/>
        </w:rPr>
        <w:t>Pennel, C. L., McLeroy, K. R., Burdine, J. N., Matarrita-Cascante, D., &amp; Wang, J. (2016). Community health needs assessment: potential for population health improvement. </w:t>
      </w:r>
      <w:r w:rsidRPr="008B736F">
        <w:rPr>
          <w:rFonts w:ascii="Times New Roman" w:hAnsi="Times New Roman" w:cs="Times New Roman"/>
          <w:i/>
          <w:iCs/>
          <w:color w:val="000000" w:themeColor="text1"/>
          <w:sz w:val="24"/>
          <w:szCs w:val="24"/>
          <w:shd w:val="clear" w:color="auto" w:fill="FFFFFF"/>
        </w:rPr>
        <w:t>Population health management</w:t>
      </w:r>
      <w:r w:rsidRPr="008B736F">
        <w:rPr>
          <w:rFonts w:ascii="Times New Roman" w:hAnsi="Times New Roman" w:cs="Times New Roman"/>
          <w:color w:val="000000" w:themeColor="text1"/>
          <w:sz w:val="24"/>
          <w:szCs w:val="24"/>
          <w:shd w:val="clear" w:color="auto" w:fill="FFFFFF"/>
        </w:rPr>
        <w:t>, </w:t>
      </w:r>
      <w:r w:rsidRPr="008B736F">
        <w:rPr>
          <w:rFonts w:ascii="Times New Roman" w:hAnsi="Times New Roman" w:cs="Times New Roman"/>
          <w:i/>
          <w:iCs/>
          <w:color w:val="000000" w:themeColor="text1"/>
          <w:sz w:val="24"/>
          <w:szCs w:val="24"/>
          <w:shd w:val="clear" w:color="auto" w:fill="FFFFFF"/>
        </w:rPr>
        <w:t>19</w:t>
      </w:r>
      <w:r w:rsidRPr="008B736F">
        <w:rPr>
          <w:rFonts w:ascii="Times New Roman" w:hAnsi="Times New Roman" w:cs="Times New Roman"/>
          <w:color w:val="000000" w:themeColor="text1"/>
          <w:sz w:val="24"/>
          <w:szCs w:val="24"/>
          <w:shd w:val="clear" w:color="auto" w:fill="FFFFFF"/>
        </w:rPr>
        <w:t>(3), 178-186.</w:t>
      </w:r>
    </w:p>
    <w:p w:rsidR="00551F2F" w:rsidRDefault="003C0AA9" w:rsidP="003C0AA9">
      <w:pPr>
        <w:spacing w:line="480" w:lineRule="auto"/>
        <w:rPr>
          <w:rFonts w:ascii="Times New Roman" w:hAnsi="Times New Roman" w:cs="Times New Roman"/>
          <w:color w:val="000000" w:themeColor="text1"/>
          <w:spacing w:val="-1"/>
          <w:sz w:val="24"/>
          <w:szCs w:val="24"/>
          <w:bdr w:val="none" w:sz="0" w:space="0" w:color="auto" w:frame="1"/>
          <w:shd w:val="clear" w:color="auto" w:fill="F4F4F4"/>
        </w:rPr>
      </w:pPr>
      <w:r w:rsidRPr="008B736F">
        <w:rPr>
          <w:rFonts w:ascii="Times New Roman" w:hAnsi="Times New Roman" w:cs="Times New Roman"/>
          <w:color w:val="000000" w:themeColor="text1"/>
          <w:sz w:val="24"/>
          <w:szCs w:val="24"/>
          <w:shd w:val="clear" w:color="auto" w:fill="FFFFFF"/>
        </w:rPr>
        <w:t>Shah, G. H. (2018). Local Health Departments’ Role in Nonprofit Hospitals’ Community Health Needs Assessment.</w:t>
      </w:r>
    </w:p>
    <w:sectPr w:rsidR="00551F2F" w:rsidSect="000A72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B41" w:rsidRDefault="001C7B41" w:rsidP="000A723E">
      <w:pPr>
        <w:spacing w:after="0" w:line="240" w:lineRule="auto"/>
      </w:pPr>
      <w:r>
        <w:separator/>
      </w:r>
    </w:p>
  </w:endnote>
  <w:endnote w:type="continuationSeparator" w:id="1">
    <w:p w:rsidR="001C7B41" w:rsidRDefault="001C7B41" w:rsidP="000A72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B41" w:rsidRDefault="001C7B41" w:rsidP="000A723E">
      <w:pPr>
        <w:spacing w:after="0" w:line="240" w:lineRule="auto"/>
      </w:pPr>
      <w:r>
        <w:separator/>
      </w:r>
    </w:p>
  </w:footnote>
  <w:footnote w:type="continuationSeparator" w:id="1">
    <w:p w:rsidR="001C7B41" w:rsidRDefault="001C7B41" w:rsidP="000A72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3E" w:rsidRPr="000A723E" w:rsidRDefault="00D53490">
    <w:pPr>
      <w:pStyle w:val="Header"/>
      <w:rPr>
        <w:rFonts w:ascii="Times New Roman" w:hAnsi="Times New Roman" w:cs="Times New Roman"/>
        <w:sz w:val="24"/>
        <w:szCs w:val="24"/>
      </w:rPr>
    </w:pPr>
    <w:hyperlink r:id="rId1" w:tgtFrame="_blank" w:history="1">
      <w:r w:rsidR="000A723E" w:rsidRPr="000A723E">
        <w:rPr>
          <w:rStyle w:val="Strong"/>
          <w:rFonts w:ascii="Times New Roman" w:hAnsi="Times New Roman" w:cs="Times New Roman"/>
          <w:b w:val="0"/>
          <w:color w:val="1C1E29"/>
          <w:sz w:val="24"/>
          <w:szCs w:val="24"/>
        </w:rPr>
        <w:t>COMMUNITY STRATEGIC PLAN: PART B, STRATEGIC PLAN</w:t>
      </w:r>
    </w:hyperlink>
    <w:r w:rsidR="000A723E" w:rsidRPr="000A723E">
      <w:rPr>
        <w:rFonts w:ascii="Times New Roman" w:hAnsi="Times New Roman" w:cs="Times New Roman"/>
        <w:b/>
        <w:color w:val="1C1E29"/>
        <w:sz w:val="24"/>
        <w:szCs w:val="24"/>
      </w:rPr>
      <w:tab/>
    </w:r>
    <w:sdt>
      <w:sdtPr>
        <w:rPr>
          <w:rFonts w:ascii="Times New Roman" w:hAnsi="Times New Roman" w:cs="Times New Roman"/>
          <w:sz w:val="24"/>
          <w:szCs w:val="24"/>
        </w:rPr>
        <w:id w:val="-2115500243"/>
        <w:docPartObj>
          <w:docPartGallery w:val="Page Numbers (Top of Page)"/>
          <w:docPartUnique/>
        </w:docPartObj>
      </w:sdtPr>
      <w:sdtEndPr>
        <w:rPr>
          <w:noProof/>
        </w:rPr>
      </w:sdtEndPr>
      <w:sdtContent>
        <w:r w:rsidRPr="000A723E">
          <w:rPr>
            <w:rFonts w:ascii="Times New Roman" w:hAnsi="Times New Roman" w:cs="Times New Roman"/>
            <w:sz w:val="24"/>
            <w:szCs w:val="24"/>
          </w:rPr>
          <w:fldChar w:fldCharType="begin"/>
        </w:r>
        <w:r w:rsidR="000A723E" w:rsidRPr="000A723E">
          <w:rPr>
            <w:rFonts w:ascii="Times New Roman" w:hAnsi="Times New Roman" w:cs="Times New Roman"/>
            <w:sz w:val="24"/>
            <w:szCs w:val="24"/>
          </w:rPr>
          <w:instrText xml:space="preserve"> PAGE   \* MERGEFORMAT </w:instrText>
        </w:r>
        <w:r w:rsidRPr="000A723E">
          <w:rPr>
            <w:rFonts w:ascii="Times New Roman" w:hAnsi="Times New Roman" w:cs="Times New Roman"/>
            <w:sz w:val="24"/>
            <w:szCs w:val="24"/>
          </w:rPr>
          <w:fldChar w:fldCharType="separate"/>
        </w:r>
        <w:r w:rsidR="00DE7AD8">
          <w:rPr>
            <w:rFonts w:ascii="Times New Roman" w:hAnsi="Times New Roman" w:cs="Times New Roman"/>
            <w:noProof/>
            <w:sz w:val="24"/>
            <w:szCs w:val="24"/>
          </w:rPr>
          <w:t>6</w:t>
        </w:r>
        <w:r w:rsidRPr="000A723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3E" w:rsidRDefault="000A723E" w:rsidP="000A723E">
    <w:pPr>
      <w:pStyle w:val="NormalWeb"/>
      <w:spacing w:before="0" w:beforeAutospacing="0" w:after="0" w:afterAutospacing="0"/>
    </w:pPr>
    <w:r>
      <w:t xml:space="preserve">Running head: </w:t>
    </w:r>
    <w:hyperlink r:id="rId1" w:tgtFrame="_blank" w:history="1">
      <w:r w:rsidRPr="000A723E">
        <w:rPr>
          <w:rStyle w:val="Strong"/>
          <w:b w:val="0"/>
          <w:color w:val="1C1E29"/>
        </w:rPr>
        <w:t>COMMUNITY STRATEGIC PLAN: PART B, STRATEGIC PLAN</w:t>
      </w:r>
    </w:hyperlink>
    <w:r>
      <w:rPr>
        <w:b/>
        <w:color w:val="1C1E29"/>
      </w:rPr>
      <w:tab/>
    </w:r>
    <w:sdt>
      <w:sdtPr>
        <w:id w:val="835495005"/>
        <w:docPartObj>
          <w:docPartGallery w:val="Page Numbers (Top of Page)"/>
          <w:docPartUnique/>
        </w:docPartObj>
      </w:sdtPr>
      <w:sdtEndPr>
        <w:rPr>
          <w:noProof/>
        </w:rPr>
      </w:sdtEndPr>
      <w:sdtContent>
        <w:r w:rsidR="00D53490">
          <w:fldChar w:fldCharType="begin"/>
        </w:r>
        <w:r>
          <w:instrText xml:space="preserve"> PAGE   \* MERGEFORMAT </w:instrText>
        </w:r>
        <w:r w:rsidR="00D53490">
          <w:fldChar w:fldCharType="separate"/>
        </w:r>
        <w:r w:rsidR="003C0AA9">
          <w:rPr>
            <w:noProof/>
          </w:rPr>
          <w:t>1</w:t>
        </w:r>
        <w:r w:rsidR="00D53490">
          <w:rPr>
            <w:noProof/>
          </w:rPr>
          <w:fldChar w:fldCharType="end"/>
        </w:r>
      </w:sdtContent>
    </w:sdt>
  </w:p>
  <w:p w:rsidR="000A723E" w:rsidRDefault="000A72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1E6F"/>
    <w:rsid w:val="00032027"/>
    <w:rsid w:val="000A723E"/>
    <w:rsid w:val="000D27DA"/>
    <w:rsid w:val="0014675F"/>
    <w:rsid w:val="001C7B41"/>
    <w:rsid w:val="002C71EB"/>
    <w:rsid w:val="00367B6F"/>
    <w:rsid w:val="003C0AA9"/>
    <w:rsid w:val="00407B12"/>
    <w:rsid w:val="00410276"/>
    <w:rsid w:val="00477D82"/>
    <w:rsid w:val="00493DD7"/>
    <w:rsid w:val="00551F2F"/>
    <w:rsid w:val="00572C42"/>
    <w:rsid w:val="00591292"/>
    <w:rsid w:val="0067046B"/>
    <w:rsid w:val="006E6749"/>
    <w:rsid w:val="00700B8D"/>
    <w:rsid w:val="0076488A"/>
    <w:rsid w:val="007E4D47"/>
    <w:rsid w:val="007E76AF"/>
    <w:rsid w:val="007F3D84"/>
    <w:rsid w:val="008564CB"/>
    <w:rsid w:val="008B1A0D"/>
    <w:rsid w:val="008B3640"/>
    <w:rsid w:val="009633F2"/>
    <w:rsid w:val="00980241"/>
    <w:rsid w:val="00A61BA8"/>
    <w:rsid w:val="00AB1E6F"/>
    <w:rsid w:val="00AD6899"/>
    <w:rsid w:val="00B37182"/>
    <w:rsid w:val="00B43A75"/>
    <w:rsid w:val="00BA6E5E"/>
    <w:rsid w:val="00C247BC"/>
    <w:rsid w:val="00C30285"/>
    <w:rsid w:val="00CF0B08"/>
    <w:rsid w:val="00D20277"/>
    <w:rsid w:val="00D53490"/>
    <w:rsid w:val="00DE7AD8"/>
    <w:rsid w:val="00E87EA8"/>
    <w:rsid w:val="00EA7B02"/>
    <w:rsid w:val="00EB4EAC"/>
    <w:rsid w:val="00ED3EB4"/>
    <w:rsid w:val="00EE2F44"/>
    <w:rsid w:val="00F52261"/>
    <w:rsid w:val="00F710C7"/>
    <w:rsid w:val="00F86410"/>
    <w:rsid w:val="00FA37FA"/>
    <w:rsid w:val="00FD03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490"/>
  </w:style>
  <w:style w:type="paragraph" w:styleId="Heading2">
    <w:name w:val="heading 2"/>
    <w:basedOn w:val="Normal"/>
    <w:next w:val="Normal"/>
    <w:link w:val="Heading2Char"/>
    <w:uiPriority w:val="9"/>
    <w:semiHidden/>
    <w:unhideWhenUsed/>
    <w:qFormat/>
    <w:rsid w:val="00F864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B1E6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1E6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AB1E6F"/>
    <w:rPr>
      <w:color w:val="0000FF"/>
      <w:u w:val="single"/>
    </w:rPr>
  </w:style>
  <w:style w:type="character" w:customStyle="1" w:styleId="Heading2Char">
    <w:name w:val="Heading 2 Char"/>
    <w:basedOn w:val="DefaultParagraphFont"/>
    <w:link w:val="Heading2"/>
    <w:uiPriority w:val="9"/>
    <w:semiHidden/>
    <w:rsid w:val="00F86410"/>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9633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33F2"/>
    <w:rPr>
      <w:b/>
      <w:bCs/>
    </w:rPr>
  </w:style>
  <w:style w:type="paragraph" w:styleId="Header">
    <w:name w:val="header"/>
    <w:basedOn w:val="Normal"/>
    <w:link w:val="HeaderChar"/>
    <w:uiPriority w:val="99"/>
    <w:unhideWhenUsed/>
    <w:rsid w:val="000A7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23E"/>
  </w:style>
  <w:style w:type="paragraph" w:styleId="Footer">
    <w:name w:val="footer"/>
    <w:basedOn w:val="Normal"/>
    <w:link w:val="FooterChar"/>
    <w:uiPriority w:val="99"/>
    <w:unhideWhenUsed/>
    <w:rsid w:val="000A7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23E"/>
  </w:style>
</w:styles>
</file>

<file path=word/webSettings.xml><?xml version="1.0" encoding="utf-8"?>
<w:webSettings xmlns:r="http://schemas.openxmlformats.org/officeDocument/2006/relationships" xmlns:w="http://schemas.openxmlformats.org/wordprocessingml/2006/main">
  <w:divs>
    <w:div w:id="359742899">
      <w:bodyDiv w:val="1"/>
      <w:marLeft w:val="0"/>
      <w:marRight w:val="0"/>
      <w:marTop w:val="0"/>
      <w:marBottom w:val="0"/>
      <w:divBdr>
        <w:top w:val="none" w:sz="0" w:space="0" w:color="auto"/>
        <w:left w:val="none" w:sz="0" w:space="0" w:color="auto"/>
        <w:bottom w:val="none" w:sz="0" w:space="0" w:color="auto"/>
        <w:right w:val="none" w:sz="0" w:space="0" w:color="auto"/>
      </w:divBdr>
    </w:div>
    <w:div w:id="1898399816">
      <w:bodyDiv w:val="1"/>
      <w:marLeft w:val="0"/>
      <w:marRight w:val="0"/>
      <w:marTop w:val="0"/>
      <w:marBottom w:val="0"/>
      <w:divBdr>
        <w:top w:val="none" w:sz="0" w:space="0" w:color="auto"/>
        <w:left w:val="none" w:sz="0" w:space="0" w:color="auto"/>
        <w:bottom w:val="none" w:sz="0" w:space="0" w:color="auto"/>
        <w:right w:val="none" w:sz="0" w:space="0" w:color="auto"/>
      </w:divBdr>
    </w:div>
    <w:div w:id="203935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ging.com/preventing-falls-in-older-adul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westcoastuniversity.edu/webapps/assignment/uploadAssignment?content_id=_4008352_1&amp;course_id=_47952_1&amp;group_id=&amp;mode=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s://learn.westcoastuniversity.edu/webapps/assignment/uploadAssignment?content_id=_4008352_1&amp;course_id=_47952_1&amp;group_id=&amp;mode=view"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learn.westcoastuniversity.edu/webapps/assignment/uploadAssignment?content_id=_4008352_1&amp;course_id=_47952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2386</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2019-09-24T19:44:00Z</dcterms:created>
  <dcterms:modified xsi:type="dcterms:W3CDTF">2019-09-24T19:44:00Z</dcterms:modified>
</cp:coreProperties>
</file>